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BC02C7" w:rsidRPr="00BC02C7">
        <w:rPr>
          <w:rFonts w:ascii="Arial" w:hAnsi="Arial" w:cs="Arial"/>
          <w:bCs/>
          <w:i w:val="0"/>
          <w:szCs w:val="24"/>
        </w:rPr>
        <w:t>10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BC02C7" w:rsidRPr="00BC02C7">
        <w:rPr>
          <w:rFonts w:ascii="Arial" w:hAnsi="Arial" w:cs="Arial"/>
          <w:b/>
          <w:sz w:val="24"/>
          <w:szCs w:val="24"/>
        </w:rPr>
        <w:t>93/2022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C02C7" w:rsidRPr="004B1027" w:rsidTr="00EF026D">
        <w:tc>
          <w:tcPr>
            <w:tcW w:w="9104" w:type="dxa"/>
            <w:shd w:val="clear" w:color="auto" w:fill="D9D9D9"/>
          </w:tcPr>
          <w:p w:rsidR="00BC02C7" w:rsidRPr="004B1027" w:rsidRDefault="00BC02C7" w:rsidP="00EF026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BC02C7" w:rsidRPr="004B1027" w:rsidRDefault="00BC02C7" w:rsidP="00EF026D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BC02C7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BC02C7" w:rsidRPr="004B1027" w:rsidRDefault="00BC02C7" w:rsidP="00EF02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BC02C7" w:rsidRPr="004B1027" w:rsidRDefault="00BC02C7" w:rsidP="00EF02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BC02C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C02C7">
        <w:rPr>
          <w:rFonts w:ascii="Arial" w:hAnsi="Arial" w:cs="Arial"/>
          <w:b/>
          <w:sz w:val="24"/>
          <w:szCs w:val="24"/>
        </w:rPr>
        <w:t>Usługa przeglądu i naprawy zasilaczy awaryjnych UPS na okres 12 miesięcy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18" w:rsidRDefault="002A4018">
      <w:r>
        <w:separator/>
      </w:r>
    </w:p>
  </w:endnote>
  <w:endnote w:type="continuationSeparator" w:id="0">
    <w:p w:rsidR="002A4018" w:rsidRDefault="002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02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02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7" w:rsidRDefault="00BC0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18" w:rsidRDefault="002A4018">
      <w:r>
        <w:separator/>
      </w:r>
    </w:p>
  </w:footnote>
  <w:footnote w:type="continuationSeparator" w:id="0">
    <w:p w:rsidR="002A4018" w:rsidRDefault="002A401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7" w:rsidRDefault="00BC0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7" w:rsidRDefault="00BC02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7" w:rsidRDefault="00BC0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01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A4018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02C7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F76B68-E996-4386-B159-13A5635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747A-3F02-44E7-97F5-05246045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2022-09-19T09:28:00Z</dcterms:created>
  <dcterms:modified xsi:type="dcterms:W3CDTF">2022-09-19T09:28:00Z</dcterms:modified>
</cp:coreProperties>
</file>